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png" ContentType="image/pn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val="false"/>
        <w:tabs>
          <w:tab w:val="clear" w:pos="709"/>
          <w:tab w:val="left" w:pos="3969" w:leader="none"/>
        </w:tabs>
        <w:jc w:val="both"/>
        <w:rPr/>
      </w:pPr>
      <w:r>
        <w:rPr>
          <w:b/>
        </w:rPr>
        <w:t>Intitulé de l’Unité d’Enseignement / Entité Constitutive (UE/EC) :</w:t>
      </w:r>
      <w:r>
        <w:rPr/>
        <w:tab/>
        <w:t>MILIEUX POREUX ET SUSPENSIONS</w:t>
      </w:r>
    </w:p>
    <w:p>
      <w:pPr>
        <w:pStyle w:val="Normal"/>
        <w:widowControl w:val="false"/>
        <w:tabs>
          <w:tab w:val="clear" w:pos="709"/>
          <w:tab w:val="left" w:pos="3969" w:leader="none"/>
        </w:tabs>
        <w:jc w:val="both"/>
        <w:rPr/>
      </w:pPr>
      <w:r>
        <w:rPr/>
        <w:tab/>
      </w:r>
    </w:p>
    <w:p>
      <w:pPr>
        <w:pStyle w:val="Normal"/>
        <w:widowControl w:val="false"/>
        <w:tabs>
          <w:tab w:val="clear" w:pos="709"/>
          <w:tab w:val="left" w:pos="1418" w:leader="none"/>
        </w:tabs>
        <w:jc w:val="both"/>
        <w:rPr/>
      </w:pPr>
      <w:r>
        <w:rPr>
          <w:b/>
        </w:rPr>
        <w:t>Code UE :</w:t>
      </w:r>
      <w:r>
        <w:rPr/>
        <w:tab/>
      </w:r>
      <w:r>
        <w:rPr/>
        <w:t>MU</w:t>
      </w:r>
      <w:r>
        <w:rPr/>
        <w:t>5MEF23</w:t>
      </w:r>
    </w:p>
    <w:p>
      <w:pPr>
        <w:pStyle w:val="Normal"/>
        <w:widowControl w:val="false"/>
        <w:tabs>
          <w:tab w:val="clear" w:pos="709"/>
          <w:tab w:val="left" w:pos="1418" w:leader="none"/>
        </w:tabs>
        <w:jc w:val="both"/>
        <w:rPr/>
      </w:pPr>
      <w:r>
        <w:rPr/>
      </w:r>
    </w:p>
    <w:p>
      <w:pPr>
        <w:pStyle w:val="Normal"/>
        <w:widowControl w:val="false"/>
        <w:tabs>
          <w:tab w:val="clear" w:pos="709"/>
          <w:tab w:val="left" w:pos="2835" w:leader="none"/>
          <w:tab w:val="left" w:pos="4395" w:leader="none"/>
          <w:tab w:val="left" w:pos="5954" w:leader="none"/>
          <w:tab w:val="left" w:pos="7513" w:leader="none"/>
        </w:tabs>
        <w:jc w:val="both"/>
        <w:rPr/>
      </w:pPr>
      <w:r>
        <w:rPr>
          <w:b/>
        </w:rPr>
        <w:t>Volumes horaires / étu :</w:t>
      </w:r>
      <w:r>
        <w:rPr/>
        <w:tab/>
        <w:t>20h Cours</w:t>
        <w:tab/>
        <w:t xml:space="preserve">12h TD </w:t>
        <w:tab/>
        <w:t xml:space="preserve">   Projet : travail personnel</w:t>
      </w:r>
    </w:p>
    <w:p>
      <w:pPr>
        <w:pStyle w:val="Normal"/>
        <w:widowControl w:val="false"/>
        <w:tabs>
          <w:tab w:val="clear" w:pos="709"/>
          <w:tab w:val="left" w:pos="4253" w:leader="none"/>
        </w:tabs>
        <w:jc w:val="both"/>
        <w:rPr/>
      </w:pPr>
      <w:r>
        <w:rPr/>
      </w:r>
    </w:p>
    <w:p>
      <w:pPr>
        <w:pStyle w:val="Normal"/>
        <w:widowControl w:val="false"/>
        <w:tabs>
          <w:tab w:val="clear" w:pos="709"/>
          <w:tab w:val="left" w:pos="2835" w:leader="none"/>
        </w:tabs>
        <w:jc w:val="both"/>
        <w:rPr/>
      </w:pPr>
      <w:r>
        <w:rPr>
          <w:b/>
        </w:rPr>
        <w:t>Nombre de crédits de l’UE/EC :</w:t>
      </w:r>
      <w:r>
        <w:rPr/>
        <w:t xml:space="preserve"> 3  ECTS</w:t>
      </w:r>
    </w:p>
    <w:p>
      <w:pPr>
        <w:pStyle w:val="Normal"/>
        <w:widowControl w:val="false"/>
        <w:tabs>
          <w:tab w:val="clear" w:pos="709"/>
          <w:tab w:val="left" w:pos="940" w:leader="none"/>
        </w:tabs>
        <w:jc w:val="both"/>
        <w:rPr/>
      </w:pPr>
      <w:r>
        <w:rPr/>
        <w:tab/>
      </w:r>
    </w:p>
    <w:p>
      <w:pPr>
        <w:pStyle w:val="Normal"/>
        <w:widowControl w:val="false"/>
        <w:tabs>
          <w:tab w:val="clear" w:pos="709"/>
          <w:tab w:val="left" w:pos="3261" w:leader="none"/>
          <w:tab w:val="left" w:pos="4962" w:leader="none"/>
          <w:tab w:val="left" w:pos="6237" w:leader="none"/>
        </w:tabs>
        <w:jc w:val="both"/>
        <w:rPr/>
      </w:pPr>
      <w:r>
        <w:rPr>
          <w:b/>
        </w:rPr>
        <w:t>Mention(s) de Master de l’UE :</w:t>
      </w:r>
      <w:r>
        <w:rPr/>
        <w:tab/>
      </w:r>
      <w:r>
        <w:rPr>
          <w:bdr w:val="single" w:sz="4" w:space="0" w:color="000000"/>
        </w:rPr>
        <w:t xml:space="preserve">X </w:t>
      </w:r>
      <w:r>
        <w:rPr/>
        <w:t xml:space="preserve"> Mécanique</w:t>
        <w:tab/>
      </w:r>
      <w:r>
        <w:rPr>
          <w:bdr w:val="single" w:sz="4" w:space="0" w:color="000000"/>
        </w:rPr>
        <w:t xml:space="preserve">   </w:t>
      </w:r>
      <w:r>
        <w:rPr/>
        <w:t xml:space="preserve"> AR</w:t>
        <w:tab/>
      </w:r>
      <w:r>
        <w:rPr>
          <w:bdr w:val="single" w:sz="4" w:space="0" w:color="000000"/>
        </w:rPr>
        <w:t xml:space="preserve">   </w:t>
      </w:r>
      <w:r>
        <w:rPr/>
        <w:t xml:space="preserve">  E3A</w:t>
      </w:r>
    </w:p>
    <w:p>
      <w:pPr>
        <w:pStyle w:val="Normal"/>
        <w:widowControl w:val="false"/>
        <w:tabs>
          <w:tab w:val="clear" w:pos="709"/>
          <w:tab w:val="left" w:pos="3261" w:leader="none"/>
          <w:tab w:val="left" w:pos="4962" w:leader="none"/>
          <w:tab w:val="left" w:pos="6237" w:leader="none"/>
        </w:tabs>
        <w:jc w:val="both"/>
        <w:rPr/>
      </w:pPr>
      <w:r>
        <w:rPr/>
      </w:r>
    </w:p>
    <w:p>
      <w:pPr>
        <w:pStyle w:val="Normal"/>
        <w:widowControl w:val="false"/>
        <w:tabs>
          <w:tab w:val="clear" w:pos="709"/>
          <w:tab w:val="left" w:pos="3261" w:leader="none"/>
          <w:tab w:val="left" w:pos="4962" w:leader="none"/>
          <w:tab w:val="left" w:pos="6237" w:leader="none"/>
        </w:tabs>
        <w:jc w:val="both"/>
        <w:rPr>
          <w:lang w:val="en-US"/>
        </w:rPr>
      </w:pPr>
      <w:r>
        <w:rPr>
          <w:b/>
          <w:bCs/>
          <w:lang w:val="en-US"/>
        </w:rPr>
        <w:t xml:space="preserve">Parcours-type : </w:t>
      </w:r>
      <w:r>
        <w:rPr>
          <w:lang w:val="en-US"/>
        </w:rPr>
        <w:t>E3A :</w:t>
      </w:r>
      <w:r>
        <w:rPr>
          <w:b/>
          <w:bCs/>
          <w:lang w:val="en-US"/>
        </w:rPr>
        <w:t xml:space="preserve">    </w:t>
      </w:r>
      <w:r>
        <w:rPr>
          <w:bdr w:val="single" w:sz="4" w:space="0" w:color="000000"/>
          <w:lang w:val="en-US"/>
        </w:rPr>
        <w:t xml:space="preserve">   </w:t>
      </w:r>
      <w:r>
        <w:rPr>
          <w:lang w:val="en-US"/>
        </w:rPr>
        <w:t xml:space="preserve"> CIMES</w:t>
        <w:tab/>
      </w:r>
      <w:r>
        <w:rPr>
          <w:bdr w:val="single" w:sz="4" w:space="0" w:color="000000"/>
          <w:lang w:val="en-US"/>
        </w:rPr>
        <w:t xml:space="preserve">   </w:t>
      </w:r>
      <w:r>
        <w:rPr>
          <w:lang w:val="en-US"/>
        </w:rPr>
        <w:t xml:space="preserve">  Syscom</w:t>
        <w:tab/>
      </w:r>
      <w:r>
        <w:rPr>
          <w:bdr w:val="single" w:sz="4" w:space="0" w:color="000000"/>
          <w:lang w:val="en-US"/>
        </w:rPr>
        <w:t xml:space="preserve">   </w:t>
      </w:r>
      <w:r>
        <w:rPr>
          <w:lang w:val="en-US"/>
        </w:rPr>
        <w:t xml:space="preserve">  IPS</w:t>
      </w:r>
    </w:p>
    <w:p>
      <w:pPr>
        <w:pStyle w:val="Normal"/>
        <w:widowControl w:val="false"/>
        <w:tabs>
          <w:tab w:val="clear" w:pos="709"/>
          <w:tab w:val="left" w:pos="3261" w:leader="none"/>
          <w:tab w:val="left" w:pos="4962" w:leader="none"/>
          <w:tab w:val="left" w:pos="6237" w:leader="none"/>
        </w:tabs>
        <w:jc w:val="both"/>
        <w:rPr>
          <w:lang w:val="en-US"/>
        </w:rPr>
      </w:pPr>
      <w:r>
        <w:rPr>
          <w:lang w:val="en-US"/>
        </w:rPr>
        <w:t xml:space="preserve">                           </w:t>
      </w:r>
      <w:r>
        <w:rPr>
          <w:lang w:val="en-US"/>
        </w:rPr>
        <w:t xml:space="preserve">AR :       </w:t>
      </w:r>
      <w:r>
        <w:rPr>
          <w:bdr w:val="single" w:sz="4" w:space="0" w:color="000000"/>
          <w:lang w:val="en-US"/>
        </w:rPr>
        <w:t xml:space="preserve">   </w:t>
      </w:r>
      <w:r>
        <w:rPr>
          <w:lang w:val="en-US"/>
        </w:rPr>
        <w:t xml:space="preserve">  SAR</w:t>
        <w:tab/>
      </w:r>
      <w:r>
        <w:rPr>
          <w:bdr w:val="single" w:sz="4" w:space="0" w:color="000000"/>
          <w:lang w:val="en-US"/>
        </w:rPr>
        <w:t xml:space="preserve">   </w:t>
      </w:r>
      <w:r>
        <w:rPr>
          <w:lang w:val="en-US"/>
        </w:rPr>
        <w:t xml:space="preserve">  ISI</w:t>
        <w:tab/>
      </w:r>
    </w:p>
    <w:p>
      <w:pPr>
        <w:pStyle w:val="Normal"/>
        <w:widowControl w:val="false"/>
        <w:tabs>
          <w:tab w:val="clear" w:pos="709"/>
          <w:tab w:val="left" w:pos="3261" w:leader="none"/>
          <w:tab w:val="left" w:pos="4962" w:leader="none"/>
          <w:tab w:val="left" w:pos="6237" w:leader="none"/>
        </w:tabs>
        <w:jc w:val="both"/>
        <w:rPr>
          <w:lang w:val="en-US"/>
        </w:rPr>
      </w:pPr>
      <w:r>
        <w:rPr>
          <w:lang w:val="en-US"/>
        </w:rPr>
        <w:t xml:space="preserve">                           </w:t>
      </w:r>
      <w:r>
        <w:rPr>
          <w:lang w:val="en-US"/>
        </w:rPr>
        <w:t>MECA :</w:t>
      </w:r>
      <w:r>
        <w:rPr>
          <w:bdr w:val="single" w:sz="4" w:space="0" w:color="000000"/>
          <w:lang w:val="en-US"/>
        </w:rPr>
        <w:t xml:space="preserve">   </w:t>
      </w:r>
      <w:r>
        <w:rPr>
          <w:lang w:val="en-US"/>
        </w:rPr>
        <w:t xml:space="preserve">  MS2</w:t>
        <w:tab/>
      </w:r>
      <w:r>
        <w:rPr>
          <w:bdr w:val="single" w:sz="4" w:space="0" w:color="000000"/>
          <w:lang w:val="en-US"/>
        </w:rPr>
        <w:t xml:space="preserve">X </w:t>
      </w:r>
      <w:r>
        <w:rPr>
          <w:lang w:val="en-US"/>
        </w:rPr>
        <w:t xml:space="preserve">  MF2A</w:t>
        <w:tab/>
      </w:r>
      <w:r>
        <w:rPr>
          <w:bdr w:val="single" w:sz="4" w:space="0" w:color="000000"/>
          <w:lang w:val="en-US"/>
        </w:rPr>
        <w:t xml:space="preserve">   </w:t>
      </w:r>
      <w:r>
        <w:rPr>
          <w:lang w:val="en-US"/>
        </w:rPr>
        <w:t xml:space="preserve">  EE </w:t>
        <w:tab/>
      </w:r>
      <w:r>
        <w:rPr>
          <w:bdr w:val="single" w:sz="4" w:space="0" w:color="000000"/>
          <w:lang w:val="en-US"/>
        </w:rPr>
        <w:t xml:space="preserve">X </w:t>
      </w:r>
      <w:r>
        <w:rPr>
          <w:lang w:val="en-US"/>
        </w:rPr>
        <w:t xml:space="preserve"> CompMech</w:t>
        <w:tab/>
      </w:r>
      <w:r>
        <w:rPr>
          <w:bdr w:val="single" w:sz="4" w:space="0" w:color="000000"/>
          <w:lang w:val="en-US"/>
        </w:rPr>
        <w:t xml:space="preserve">   </w:t>
      </w:r>
      <w:r>
        <w:rPr>
          <w:lang w:val="en-US"/>
        </w:rPr>
        <w:t xml:space="preserve">  ACOU</w:t>
        <w:tab/>
      </w:r>
      <w:r>
        <w:rPr>
          <w:bdr w:val="single" w:sz="4" w:space="0" w:color="000000"/>
          <w:lang w:val="en-US"/>
        </w:rPr>
        <w:t xml:space="preserve">   </w:t>
      </w:r>
      <w:r>
        <w:rPr>
          <w:lang w:val="en-US"/>
        </w:rPr>
        <w:t xml:space="preserve">  EE APP</w:t>
      </w:r>
    </w:p>
    <w:p>
      <w:pPr>
        <w:pStyle w:val="Normal"/>
        <w:widowControl w:val="false"/>
        <w:tabs>
          <w:tab w:val="clear" w:pos="709"/>
          <w:tab w:val="left" w:pos="2977" w:leader="none"/>
        </w:tabs>
        <w:jc w:val="both"/>
        <w:rPr>
          <w:lang w:val="en-US"/>
        </w:rPr>
      </w:pPr>
      <w:r>
        <w:rPr>
          <w:lang w:val="en-US"/>
        </w:rPr>
      </w:r>
    </w:p>
    <w:p>
      <w:pPr>
        <w:pStyle w:val="Normal"/>
        <w:widowControl w:val="false"/>
        <w:tabs>
          <w:tab w:val="clear" w:pos="709"/>
          <w:tab w:val="left" w:pos="2977" w:leader="none"/>
          <w:tab w:val="left" w:pos="4395" w:leader="none"/>
          <w:tab w:val="left" w:pos="5245" w:leader="none"/>
          <w:tab w:val="left" w:pos="6237" w:leader="none"/>
        </w:tabs>
        <w:jc w:val="both"/>
        <w:rPr/>
      </w:pPr>
      <w:r>
        <w:rPr>
          <w:b/>
        </w:rPr>
        <w:t>Semestre où l’enseignement est proposé :</w:t>
      </w:r>
      <w:r>
        <w:rPr/>
        <w:tab/>
      </w:r>
      <w:r>
        <w:rPr>
          <w:bdr w:val="single" w:sz="4" w:space="0" w:color="000000"/>
        </w:rPr>
        <w:t xml:space="preserve">   </w:t>
      </w:r>
      <w:r>
        <w:rPr/>
        <w:t xml:space="preserve">  S1</w:t>
        <w:tab/>
      </w:r>
      <w:r>
        <w:rPr>
          <w:bdr w:val="single" w:sz="4" w:space="0" w:color="000000"/>
        </w:rPr>
        <w:t xml:space="preserve">   </w:t>
      </w:r>
      <w:r>
        <w:rPr/>
        <w:t xml:space="preserve">  S2</w:t>
        <w:tab/>
      </w:r>
      <w:r>
        <w:rPr>
          <w:bdr w:val="single" w:sz="4" w:space="0" w:color="000000"/>
        </w:rPr>
        <w:t xml:space="preserve"> X </w:t>
      </w:r>
      <w:r>
        <w:rPr/>
        <w:t xml:space="preserve">  S3 </w:t>
      </w:r>
      <w:r>
        <w:rPr>
          <w:bdr w:val="single" w:sz="4" w:space="0" w:color="000000"/>
        </w:rPr>
        <w:t xml:space="preserve">   </w:t>
      </w:r>
      <w:r>
        <w:rPr/>
        <w:t xml:space="preserve"> S4</w:t>
      </w:r>
    </w:p>
    <w:p>
      <w:pPr>
        <w:pStyle w:val="Normal"/>
        <w:widowControl w:val="false"/>
        <w:tabs>
          <w:tab w:val="clear" w:pos="709"/>
          <w:tab w:val="left" w:pos="2977" w:leader="none"/>
          <w:tab w:val="left" w:pos="4395" w:leader="none"/>
          <w:tab w:val="left" w:pos="5245" w:leader="none"/>
          <w:tab w:val="left" w:pos="6237" w:leader="none"/>
        </w:tabs>
        <w:jc w:val="both"/>
        <w:rPr/>
      </w:pPr>
      <w:r>
        <w:rPr/>
      </w:r>
    </w:p>
    <w:p>
      <w:pPr>
        <w:pStyle w:val="Normal"/>
        <w:widowControl w:val="false"/>
        <w:tabs>
          <w:tab w:val="clear" w:pos="709"/>
          <w:tab w:val="left" w:pos="2977" w:leader="none"/>
          <w:tab w:val="left" w:pos="4395" w:leader="none"/>
          <w:tab w:val="left" w:pos="5245" w:leader="none"/>
          <w:tab w:val="left" w:pos="6237" w:leader="none"/>
        </w:tabs>
        <w:jc w:val="both"/>
        <w:rPr/>
      </w:pPr>
      <w:r>
        <w:rPr>
          <w:b/>
          <w:bCs/>
        </w:rPr>
        <w:t xml:space="preserve">Langue d’enseignement : </w:t>
        <w:tab/>
      </w:r>
      <w:r>
        <w:rPr>
          <w:bdr w:val="single" w:sz="4" w:space="0" w:color="000000"/>
        </w:rPr>
        <w:t>X</w:t>
      </w:r>
      <w:r>
        <w:rPr/>
        <w:t xml:space="preserve"> Français</w:t>
        <w:tab/>
      </w:r>
      <w:r>
        <w:rPr>
          <w:bdr w:val="single" w:sz="4" w:space="0" w:color="000000"/>
        </w:rPr>
        <w:t xml:space="preserve">   </w:t>
      </w:r>
      <w:r>
        <w:rPr/>
        <w:t xml:space="preserve">  Anglais</w:t>
      </w:r>
    </w:p>
    <w:p>
      <w:pPr>
        <w:pStyle w:val="Normal"/>
        <w:widowControl w:val="false"/>
        <w:tabs>
          <w:tab w:val="clear" w:pos="709"/>
          <w:tab w:val="left" w:pos="2977" w:leader="none"/>
          <w:tab w:val="left" w:pos="4395" w:leader="none"/>
          <w:tab w:val="left" w:pos="5245" w:leader="none"/>
          <w:tab w:val="left" w:pos="6237" w:leader="none"/>
        </w:tabs>
        <w:jc w:val="both"/>
        <w:rPr/>
      </w:pPr>
      <w:r>
        <w:rPr/>
      </w:r>
    </w:p>
    <w:p>
      <w:pPr>
        <w:pStyle w:val="Normal"/>
        <w:widowControl w:val="false"/>
        <w:tabs>
          <w:tab w:val="clear" w:pos="709"/>
          <w:tab w:val="left" w:pos="2977" w:leader="none"/>
          <w:tab w:val="left" w:pos="4395" w:leader="none"/>
          <w:tab w:val="left" w:pos="5245" w:leader="none"/>
          <w:tab w:val="left" w:pos="6237" w:leader="none"/>
        </w:tabs>
        <w:jc w:val="both"/>
        <w:rPr/>
      </w:pPr>
      <w:r>
        <w:rPr>
          <w:b/>
          <w:bCs/>
        </w:rPr>
        <w:t>Public concerné :</w:t>
      </w:r>
      <w:r>
        <w:rPr/>
        <w:t xml:space="preserve"> </w:t>
        <w:tab/>
      </w:r>
      <w:r>
        <w:rPr>
          <w:bdr w:val="single" w:sz="4" w:space="0" w:color="000000"/>
        </w:rPr>
        <w:t>X</w:t>
      </w:r>
      <w:r>
        <w:rPr/>
        <w:t xml:space="preserve"> Sorbonne Université</w:t>
        <w:tab/>
      </w:r>
      <w:r>
        <w:rPr>
          <w:bdr w:val="single" w:sz="4" w:space="0" w:color="000000"/>
        </w:rPr>
        <w:t xml:space="preserve">   </w:t>
      </w:r>
      <w:r>
        <w:rPr/>
        <w:t xml:space="preserve">  Autre (préciser) :</w:t>
      </w:r>
    </w:p>
    <w:p>
      <w:pPr>
        <w:pStyle w:val="Normal"/>
        <w:widowControl w:val="false"/>
        <w:tabs>
          <w:tab w:val="clear" w:pos="709"/>
          <w:tab w:val="left" w:pos="2977" w:leader="none"/>
          <w:tab w:val="left" w:pos="4395" w:leader="none"/>
          <w:tab w:val="left" w:pos="5245" w:leader="none"/>
          <w:tab w:val="left" w:pos="6237" w:leader="none"/>
        </w:tabs>
        <w:jc w:val="both"/>
        <w:rPr/>
      </w:pPr>
      <w:r>
        <w:rPr/>
      </w:r>
    </w:p>
    <w:p>
      <w:pPr>
        <w:pStyle w:val="Normal"/>
        <w:widowControl w:val="false"/>
        <w:tabs>
          <w:tab w:val="clear" w:pos="709"/>
          <w:tab w:val="left" w:pos="2977" w:leader="none"/>
          <w:tab w:val="left" w:pos="4395" w:leader="none"/>
          <w:tab w:val="left" w:pos="5245" w:leader="none"/>
          <w:tab w:val="left" w:pos="6237" w:leader="none"/>
        </w:tabs>
        <w:jc w:val="both"/>
        <w:rPr/>
      </w:pPr>
      <w:r>
        <w:rPr>
          <w:b/>
          <w:bCs/>
        </w:rPr>
        <w:t>Localisation :</w:t>
      </w:r>
      <w:r>
        <w:rPr/>
        <w:t xml:space="preserve">  </w:t>
        <w:tab/>
      </w:r>
      <w:r>
        <w:rPr>
          <w:bdr w:val="single" w:sz="4" w:space="0" w:color="000000"/>
        </w:rPr>
        <w:t>X</w:t>
      </w:r>
      <w:r>
        <w:rPr/>
        <w:t xml:space="preserve"> Campus UPMC</w:t>
        <w:tab/>
      </w:r>
      <w:r>
        <w:rPr>
          <w:bdr w:val="single" w:sz="4" w:space="0" w:color="000000"/>
        </w:rPr>
        <w:t xml:space="preserve">   </w:t>
      </w:r>
      <w:r>
        <w:rPr/>
        <w:t xml:space="preserve">  Autre (préciser) :</w:t>
      </w:r>
    </w:p>
    <w:p>
      <w:pPr>
        <w:pStyle w:val="Normal"/>
        <w:widowControl w:val="false"/>
        <w:pBdr>
          <w:bottom w:val="single" w:sz="4" w:space="1" w:color="000000"/>
        </w:pBdr>
        <w:tabs>
          <w:tab w:val="clear" w:pos="709"/>
          <w:tab w:val="left" w:pos="2977" w:leader="none"/>
          <w:tab w:val="left" w:pos="4253" w:leader="none"/>
          <w:tab w:val="left" w:pos="5103" w:leader="none"/>
          <w:tab w:val="left" w:pos="5954" w:leader="none"/>
        </w:tabs>
        <w:jc w:val="both"/>
        <w:rPr/>
      </w:pPr>
      <w:r>
        <w:rPr/>
      </w:r>
    </w:p>
    <w:p>
      <w:pPr>
        <w:pStyle w:val="Normal"/>
        <w:widowControl w:val="false"/>
        <w:tabs>
          <w:tab w:val="clear" w:pos="709"/>
          <w:tab w:val="left" w:pos="2977" w:leader="none"/>
          <w:tab w:val="left" w:pos="4253" w:leader="none"/>
          <w:tab w:val="left" w:pos="5103" w:leader="none"/>
          <w:tab w:val="left" w:pos="5954" w:leader="none"/>
        </w:tabs>
        <w:jc w:val="both"/>
        <w:rPr/>
      </w:pPr>
      <w:r>
        <w:rPr/>
      </w:r>
    </w:p>
    <w:p>
      <w:pPr>
        <w:pStyle w:val="Normal"/>
        <w:widowControl w:val="false"/>
        <w:tabs>
          <w:tab w:val="clear" w:pos="709"/>
          <w:tab w:val="left" w:pos="2977" w:leader="none"/>
          <w:tab w:val="left" w:pos="4253" w:leader="none"/>
          <w:tab w:val="left" w:pos="5103" w:leader="none"/>
          <w:tab w:val="left" w:pos="5954" w:leader="none"/>
        </w:tabs>
        <w:jc w:val="both"/>
        <w:rPr>
          <w:b/>
          <w:b/>
        </w:rPr>
      </w:pPr>
      <w:r>
        <w:rPr>
          <w:b/>
        </w:rPr>
        <w:t>Objectifs de l’enseignement :</w:t>
      </w:r>
    </w:p>
    <w:p>
      <w:pPr>
        <w:pStyle w:val="Normal"/>
        <w:widowControl w:val="false"/>
        <w:tabs>
          <w:tab w:val="clear" w:pos="709"/>
          <w:tab w:val="left" w:pos="2977" w:leader="none"/>
          <w:tab w:val="left" w:pos="4253" w:leader="none"/>
          <w:tab w:val="left" w:pos="5103" w:leader="none"/>
          <w:tab w:val="left" w:pos="5954" w:leader="none"/>
        </w:tabs>
        <w:spacing w:lineRule="auto" w:line="276"/>
        <w:ind w:left="284" w:right="312" w:hanging="0"/>
        <w:jc w:val="both"/>
        <w:rPr/>
      </w:pPr>
      <w:r>
        <w:rPr/>
      </w:r>
    </w:p>
    <w:p>
      <w:pPr>
        <w:pStyle w:val="Style7"/>
        <w:suppressAutoHyphens w:val="true"/>
        <w:spacing w:lineRule="exact" w:line="254"/>
        <w:jc w:val="both"/>
        <w:rPr>
          <w:rFonts w:ascii="Century Gothic" w:hAnsi="Century Gothic" w:cs="Century Gothic"/>
          <w:szCs w:val="20"/>
        </w:rPr>
      </w:pPr>
      <w:r>
        <w:rPr>
          <w:rFonts w:cs="Century Gothic" w:ascii="Century Gothic" w:hAnsi="Century Gothic"/>
          <w:szCs w:val="20"/>
        </w:rPr>
        <w:t>Les matériaux poreux et les suspensions  sont des milieux complexes, naturels ou artificiels (massif rocheux fracturé, tas de sable, matériau céramique,  suspension de particules dans un fleuve, de pigments dans une peinture, …) qui se caractérisent par une composition hétérogène et multiéchelle incluant plusieurs constituants solides ou fluides. Une description simplifiée de ces milieux consiste à s'intéresser essentiellement à deux échelles : l’échelle microscopique des hétérogénéités (fracture, grain de sable, particule en suspension, etc.) et l’échelle macroscopique correspondant à la mise en oeuvre de ce milieu pour une application donnée.</w:t>
      </w:r>
    </w:p>
    <w:p>
      <w:pPr>
        <w:pStyle w:val="Style7"/>
        <w:suppressAutoHyphens w:val="true"/>
        <w:spacing w:lineRule="exact" w:line="254"/>
        <w:jc w:val="both"/>
        <w:rPr>
          <w:rFonts w:ascii="Century Gothic" w:hAnsi="Century Gothic" w:cs="Century Gothic"/>
          <w:szCs w:val="20"/>
        </w:rPr>
      </w:pPr>
      <w:r>
        <w:rPr>
          <w:rFonts w:cs="Century Gothic" w:ascii="Century Gothic" w:hAnsi="Century Gothic"/>
          <w:szCs w:val="20"/>
        </w:rPr>
        <w:t>L'objectif de cet enseignement est d'acquérir les connaissances de base permettant de passer de l'échelle microscopique à l'échelle macroscopique pour décrire ces milieux hétérogènes à l'aide de grandeurs moyennes, et en particulier pour construire les lois de comportement du milieu macroscopique homogène "équivalent".</w:t>
      </w:r>
    </w:p>
    <w:p>
      <w:pPr>
        <w:pStyle w:val="Style7"/>
        <w:suppressAutoHyphens w:val="true"/>
        <w:spacing w:lineRule="exact" w:line="254"/>
        <w:jc w:val="both"/>
        <w:rPr>
          <w:rFonts w:ascii="Century Gothic" w:hAnsi="Century Gothic" w:cs="Century Gothic"/>
          <w:szCs w:val="20"/>
        </w:rPr>
      </w:pPr>
      <w:r>
        <w:rPr>
          <w:rFonts w:cs="Century Gothic" w:ascii="Century Gothic" w:hAnsi="Century Gothic"/>
          <w:szCs w:val="20"/>
        </w:rPr>
        <w:t xml:space="preserve">Plusieurs techniques de prise de moyenne sont envisagées selon que la répartition spatiale des hétérogénéités est aléatoire, ordonnée, ou régie par leur interaction avec l'écoulement. </w:t>
      </w:r>
    </w:p>
    <w:p>
      <w:pPr>
        <w:pStyle w:val="Style7"/>
        <w:suppressAutoHyphens w:val="true"/>
        <w:spacing w:lineRule="exact" w:line="254"/>
        <w:jc w:val="both"/>
        <w:rPr/>
      </w:pPr>
      <w:r>
        <w:rPr>
          <w:rFonts w:cs="Century Gothic" w:ascii="Century Gothic" w:hAnsi="Century Gothic"/>
          <w:szCs w:val="20"/>
        </w:rPr>
        <w:t>Les applications industrielles et techniques sont également abordées, ainsi que l'état des recherches récentes dans ce domaine.</w:t>
      </w:r>
    </w:p>
    <w:p>
      <w:pPr>
        <w:pStyle w:val="Normal"/>
        <w:widowControl w:val="false"/>
        <w:tabs>
          <w:tab w:val="clear" w:pos="709"/>
          <w:tab w:val="left" w:pos="2977" w:leader="none"/>
          <w:tab w:val="left" w:pos="4253" w:leader="none"/>
          <w:tab w:val="left" w:pos="5103" w:leader="none"/>
          <w:tab w:val="left" w:pos="5954" w:leader="none"/>
        </w:tabs>
        <w:spacing w:lineRule="auto" w:line="276"/>
        <w:ind w:left="284" w:right="312" w:hanging="0"/>
        <w:jc w:val="both"/>
        <w:rPr/>
      </w:pPr>
      <w:r>
        <w:rPr/>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b/>
          <w:b/>
        </w:rPr>
      </w:pPr>
      <w:r>
        <w:rPr>
          <w:b/>
        </w:rPr>
        <w:t>Connaissances et compétences acquises par l’étudiant à l’issue de l’enseignement :</w:t>
      </w:r>
    </w:p>
    <w:p>
      <w:pPr>
        <w:pStyle w:val="Normal"/>
        <w:widowControl w:val="false"/>
        <w:tabs>
          <w:tab w:val="clear" w:pos="709"/>
          <w:tab w:val="left" w:pos="2977" w:leader="none"/>
          <w:tab w:val="left" w:pos="4253" w:leader="none"/>
          <w:tab w:val="left" w:pos="5103" w:leader="none"/>
          <w:tab w:val="left" w:pos="5954" w:leader="none"/>
        </w:tabs>
        <w:spacing w:lineRule="auto" w:line="276"/>
        <w:ind w:left="284" w:right="312" w:hanging="0"/>
        <w:jc w:val="both"/>
        <w:rPr>
          <w:rFonts w:ascii="Century Gothic" w:hAnsi="Century Gothic"/>
        </w:rPr>
      </w:pPr>
      <w:r>
        <w:rPr>
          <w:rFonts w:ascii="Century Gothic" w:hAnsi="Century Gothic"/>
        </w:rPr>
        <w:t xml:space="preserve">Analyser les différentes échelles utiles à la description d'un milieu hétérogène. </w:t>
      </w:r>
    </w:p>
    <w:p>
      <w:pPr>
        <w:pStyle w:val="Normal"/>
        <w:widowControl w:val="false"/>
        <w:tabs>
          <w:tab w:val="clear" w:pos="709"/>
          <w:tab w:val="left" w:pos="2977" w:leader="none"/>
          <w:tab w:val="left" w:pos="4253" w:leader="none"/>
          <w:tab w:val="left" w:pos="5103" w:leader="none"/>
          <w:tab w:val="left" w:pos="5954" w:leader="none"/>
        </w:tabs>
        <w:spacing w:lineRule="auto" w:line="276"/>
        <w:ind w:left="284" w:right="312" w:hanging="0"/>
        <w:jc w:val="both"/>
        <w:rPr>
          <w:rFonts w:ascii="Century Gothic" w:hAnsi="Century Gothic"/>
        </w:rPr>
      </w:pPr>
      <w:r>
        <w:rPr>
          <w:rFonts w:ascii="Century Gothic" w:hAnsi="Century Gothic"/>
        </w:rPr>
        <w:t>Savoir définir une échelle d'observation et une moyenne représentative des propriétés à cette échelle.</w:t>
      </w:r>
    </w:p>
    <w:p>
      <w:pPr>
        <w:pStyle w:val="Normal"/>
        <w:widowControl w:val="false"/>
        <w:tabs>
          <w:tab w:val="clear" w:pos="709"/>
          <w:tab w:val="left" w:pos="2977" w:leader="none"/>
          <w:tab w:val="left" w:pos="4253" w:leader="none"/>
          <w:tab w:val="left" w:pos="5103" w:leader="none"/>
          <w:tab w:val="left" w:pos="5954" w:leader="none"/>
        </w:tabs>
        <w:spacing w:lineRule="auto" w:line="276"/>
        <w:ind w:left="284" w:right="312" w:hanging="0"/>
        <w:jc w:val="both"/>
        <w:rPr>
          <w:rFonts w:ascii="Century Gothic" w:hAnsi="Century Gothic"/>
        </w:rPr>
      </w:pPr>
      <w:r>
        <w:rPr>
          <w:rFonts w:ascii="Century Gothic" w:hAnsi="Century Gothic"/>
        </w:rPr>
        <w:t>Comprendre et mettre en oeuvre la notion de milieu homogène équivalent ou effectif.</w:t>
      </w:r>
    </w:p>
    <w:p>
      <w:pPr>
        <w:pStyle w:val="Normal"/>
        <w:widowControl w:val="false"/>
        <w:tabs>
          <w:tab w:val="clear" w:pos="709"/>
          <w:tab w:val="left" w:pos="2977" w:leader="none"/>
          <w:tab w:val="left" w:pos="4253" w:leader="none"/>
          <w:tab w:val="left" w:pos="5103" w:leader="none"/>
          <w:tab w:val="left" w:pos="5954" w:leader="none"/>
        </w:tabs>
        <w:spacing w:lineRule="auto" w:line="276"/>
        <w:ind w:left="284" w:right="312" w:hanging="0"/>
        <w:jc w:val="both"/>
        <w:rPr>
          <w:rFonts w:ascii="Century Gothic" w:hAnsi="Century Gothic"/>
        </w:rPr>
      </w:pPr>
      <w:r>
        <w:rPr>
          <w:rFonts w:ascii="Century Gothic" w:hAnsi="Century Gothic"/>
        </w:rPr>
        <w:t>Comparer les modèles aux résultats expérimentaux.</w:t>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b/>
          <w:b/>
        </w:rPr>
      </w:pPr>
      <w:r>
        <w:rPr>
          <w:b/>
        </w:rPr>
        <w:t>Contenu de l’enseignement :</w:t>
      </w:r>
    </w:p>
    <w:p>
      <w:pPr>
        <w:pStyle w:val="Style7"/>
        <w:numPr>
          <w:ilvl w:val="0"/>
          <w:numId w:val="3"/>
        </w:numPr>
        <w:suppressAutoHyphens w:val="true"/>
        <w:rPr>
          <w:rFonts w:ascii="Century Gothic" w:hAnsi="Century Gothic" w:cs="Century Gothic"/>
          <w:szCs w:val="20"/>
          <w:u w:val="single"/>
        </w:rPr>
      </w:pPr>
      <w:r>
        <w:rPr>
          <w:rFonts w:cs="Century Gothic" w:ascii="Century Gothic" w:hAnsi="Century Gothic"/>
          <w:szCs w:val="20"/>
          <w:u w:val="single"/>
        </w:rPr>
        <w:t>Milieux poreux :</w:t>
      </w:r>
      <w:r>
        <w:rPr>
          <w:rFonts w:cs="Century Gothic" w:ascii="Century Gothic" w:hAnsi="Century Gothic"/>
          <w:szCs w:val="20"/>
        </w:rPr>
        <w:t xml:space="preserve"> Exemples, caractéristiques géométriques. Techniques de modélisation macroscopique : méthodes statistiques de prise de moyenne,  méthode de l’homogénéisation avec développements multi-échelles pour des milieux périodiques. Exemples sur les loi linéaires (diffusion den milieu poreux). Ecoulements monophasiques : lois de filtration (Darcy, Brinkman, Forcheimer) ; modèles de perméabilité (cellule de type Hele-Shaw, réseau de capillaires). Problèmes de transport en milieux poreux, application aux polluants (dispersion de Taylor, coefficients de diffusion effective). </w:t>
      </w:r>
    </w:p>
    <w:p>
      <w:pPr>
        <w:pStyle w:val="Style7"/>
        <w:suppressAutoHyphens w:val="true"/>
        <w:ind w:left="788" w:hanging="0"/>
        <w:rPr>
          <w:rFonts w:ascii="Century Gothic" w:hAnsi="Century Gothic" w:cs="Century Gothic"/>
          <w:szCs w:val="20"/>
          <w:u w:val="single"/>
        </w:rPr>
      </w:pPr>
      <w:r>
        <w:rPr>
          <w:rFonts w:cs="Century Gothic" w:ascii="Century Gothic" w:hAnsi="Century Gothic"/>
          <w:szCs w:val="20"/>
          <w:u w:val="single"/>
        </w:rPr>
      </w:r>
    </w:p>
    <w:p>
      <w:pPr>
        <w:pStyle w:val="Style7"/>
        <w:numPr>
          <w:ilvl w:val="0"/>
          <w:numId w:val="3"/>
        </w:numPr>
        <w:tabs>
          <w:tab w:val="clear" w:pos="709"/>
          <w:tab w:val="left" w:pos="2977" w:leader="none"/>
          <w:tab w:val="left" w:pos="4253" w:leader="none"/>
          <w:tab w:val="left" w:pos="5103" w:leader="none"/>
          <w:tab w:val="left" w:pos="5954" w:leader="none"/>
        </w:tabs>
        <w:suppressAutoHyphens w:val="true"/>
        <w:ind w:left="788" w:right="312" w:hanging="360"/>
        <w:rPr/>
      </w:pPr>
      <w:r>
        <w:rPr>
          <w:rFonts w:cs="Century Gothic" w:ascii="Century Gothic" w:hAnsi="Century Gothic"/>
          <w:szCs w:val="20"/>
          <w:u w:val="single"/>
        </w:rPr>
        <w:t>Dynamique des suspensions :</w:t>
      </w:r>
      <w:r>
        <w:rPr>
          <w:rFonts w:cs="Century Gothic" w:ascii="Century Gothic" w:hAnsi="Century Gothic"/>
          <w:szCs w:val="20"/>
        </w:rPr>
        <w:t xml:space="preserve"> Notions de base en microhydrodynamique (sphère placée dans un écoulement de Stokes, Stokeslet, Rotlet, Stresslet, interactions hydrodynamiques, interactions de doublet de sphères,  interactions de lubrification, forces inter-particulaires, mouvement Brownien). Modélisation macroscopique des suspensions (techniques statistiques, lois de bilan, tenseur des contraintes). Sédimentation des suspensions (vitesse de sédimentation d’une sphère, d’un doublet de sphères, vitesse moyenne de sédimentation d’une suspension diluée, approximation pour les suspensions non-diluées, effet du mouvement brownien, des forces attractives, fluide porteur non-Newtonien). Viscosité moyenne d'une suspension (suspension diluée de sphères rigides: viscosité d’Einstein, approximation pour les suspensions non-diluées). Dynamique des suspensions de fibres : orientation de la microstructure par l'écoulement, viscosité elongationnelle. </w:t>
      </w:r>
    </w:p>
    <w:p>
      <w:pPr>
        <w:pStyle w:val="Normal"/>
        <w:widowControl w:val="false"/>
        <w:tabs>
          <w:tab w:val="clear" w:pos="709"/>
          <w:tab w:val="left" w:pos="2977" w:leader="none"/>
          <w:tab w:val="left" w:pos="4253" w:leader="none"/>
          <w:tab w:val="left" w:pos="5103" w:leader="none"/>
          <w:tab w:val="left" w:pos="5954" w:leader="none"/>
        </w:tabs>
        <w:spacing w:lineRule="auto" w:line="276"/>
        <w:ind w:left="284" w:right="312" w:hanging="0"/>
        <w:jc w:val="both"/>
        <w:rPr/>
      </w:pPr>
      <w:r>
        <w:rPr/>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b/>
          <w:b/>
        </w:rPr>
      </w:pPr>
      <w:r>
        <w:rPr>
          <w:b/>
        </w:rPr>
        <w:t xml:space="preserve">Prérequis : </w:t>
      </w:r>
      <w:r>
        <w:rPr>
          <w:rFonts w:ascii="Century Gothic" w:hAnsi="Century Gothic"/>
          <w:sz w:val="22"/>
          <w:szCs w:val="22"/>
        </w:rPr>
        <w:t>Mécanique des milieux continus.</w:t>
      </w:r>
    </w:p>
    <w:p>
      <w:pPr>
        <w:pStyle w:val="Normal"/>
        <w:widowControl w:val="false"/>
        <w:tabs>
          <w:tab w:val="clear" w:pos="709"/>
          <w:tab w:val="left" w:pos="2977" w:leader="none"/>
          <w:tab w:val="left" w:pos="4253" w:leader="none"/>
          <w:tab w:val="left" w:pos="5103" w:leader="none"/>
          <w:tab w:val="left" w:pos="5954" w:leader="none"/>
        </w:tabs>
        <w:spacing w:lineRule="auto" w:line="276"/>
        <w:ind w:left="284" w:right="312" w:hanging="0"/>
        <w:jc w:val="both"/>
        <w:rPr/>
      </w:pPr>
      <w:r>
        <w:rPr/>
      </w:r>
    </w:p>
    <w:p>
      <w:pPr>
        <w:pStyle w:val="Normal"/>
        <w:widowControl w:val="false"/>
        <w:tabs>
          <w:tab w:val="clear" w:pos="709"/>
          <w:tab w:val="left" w:pos="2977" w:leader="none"/>
          <w:tab w:val="left" w:pos="4253" w:leader="none"/>
          <w:tab w:val="left" w:pos="5103" w:leader="none"/>
          <w:tab w:val="left" w:pos="5954" w:leader="none"/>
        </w:tabs>
        <w:spacing w:lineRule="auto" w:line="276"/>
        <w:ind w:left="284" w:right="312" w:hanging="0"/>
        <w:jc w:val="both"/>
        <w:rPr/>
      </w:pPr>
      <w:r>
        <w:rPr/>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b/>
          <w:b/>
        </w:rPr>
      </w:pPr>
      <w:r>
        <w:rPr>
          <w:b/>
        </w:rPr>
        <w:t>Modalités de contrôle des connaissances (indicatives) :</w:t>
      </w:r>
    </w:p>
    <w:p>
      <w:pPr>
        <w:pStyle w:val="Normal"/>
        <w:widowControl w:val="false"/>
        <w:tabs>
          <w:tab w:val="clear" w:pos="709"/>
          <w:tab w:val="left" w:pos="2977" w:leader="none"/>
          <w:tab w:val="left" w:pos="4253" w:leader="none"/>
          <w:tab w:val="left" w:pos="5103" w:leader="none"/>
          <w:tab w:val="left" w:pos="5954" w:leader="none"/>
        </w:tabs>
        <w:spacing w:lineRule="auto" w:line="276"/>
        <w:ind w:left="284" w:right="312" w:hanging="0"/>
        <w:jc w:val="both"/>
        <w:rPr>
          <w:rFonts w:ascii="Century Gothic" w:hAnsi="Century Gothic"/>
        </w:rPr>
      </w:pPr>
      <w:r>
        <w:rPr>
          <w:rFonts w:ascii="Century Gothic" w:hAnsi="Century Gothic"/>
        </w:rPr>
        <w:t xml:space="preserve">Examen écrit (50%) </w:t>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Fonts w:ascii="Century Gothic" w:hAnsi="Century Gothic"/>
        </w:rPr>
        <w:t xml:space="preserve">     </w:t>
      </w:r>
      <w:r>
        <w:rPr>
          <w:rFonts w:ascii="Century Gothic" w:hAnsi="Century Gothic"/>
        </w:rPr>
        <w:t>Projet Suspensions (25%) : Sédimentation d'une suspension de billes de verre, théorie et   pratique.</w:t>
      </w:r>
    </w:p>
    <w:p>
      <w:pPr>
        <w:pStyle w:val="Normal"/>
        <w:widowControl w:val="false"/>
        <w:tabs>
          <w:tab w:val="clear" w:pos="709"/>
          <w:tab w:val="left" w:pos="2977" w:leader="none"/>
          <w:tab w:val="left" w:pos="4253" w:leader="none"/>
          <w:tab w:val="left" w:pos="5103" w:leader="none"/>
          <w:tab w:val="left" w:pos="5954" w:leader="none"/>
        </w:tabs>
        <w:spacing w:lineRule="auto" w:line="276"/>
        <w:ind w:left="284" w:right="312" w:hanging="0"/>
        <w:jc w:val="both"/>
        <w:rPr>
          <w:rFonts w:ascii="Century Gothic" w:hAnsi="Century Gothic"/>
        </w:rPr>
      </w:pPr>
      <w:r>
        <w:rPr>
          <w:rFonts w:ascii="Century Gothic" w:hAnsi="Century Gothic"/>
        </w:rPr>
        <w:t>Projet Milieu Poreux (25%) : Revue d’un article sur la dispersion de Taylor dans un milieux poreux, calcul des coefficients de diffusion effectifs</w:t>
      </w:r>
    </w:p>
    <w:p>
      <w:pPr>
        <w:pStyle w:val="Normal"/>
        <w:widowControl w:val="false"/>
        <w:tabs>
          <w:tab w:val="clear" w:pos="709"/>
          <w:tab w:val="left" w:pos="2977" w:leader="none"/>
          <w:tab w:val="left" w:pos="4253" w:leader="none"/>
          <w:tab w:val="left" w:pos="5103" w:leader="none"/>
          <w:tab w:val="left" w:pos="5954" w:leader="none"/>
        </w:tabs>
        <w:spacing w:lineRule="auto" w:line="276"/>
        <w:ind w:left="284" w:right="312" w:hanging="0"/>
        <w:jc w:val="both"/>
        <w:rPr/>
      </w:pPr>
      <w:r>
        <w:rPr/>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b/>
          <w:b/>
        </w:rPr>
      </w:pPr>
      <w:r>
        <w:rPr>
          <w:b/>
        </w:rPr>
        <w:t>Références bibliographiques :</w:t>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b/>
          <w:b/>
        </w:rPr>
      </w:pPr>
      <w:r>
        <w:rPr>
          <w:b/>
        </w:rPr>
      </w:r>
    </w:p>
    <w:p>
      <w:pPr>
        <w:pStyle w:val="Normal"/>
        <w:keepNext w:val="true"/>
        <w:keepLines/>
        <w:numPr>
          <w:ilvl w:val="0"/>
          <w:numId w:val="1"/>
        </w:numPr>
        <w:suppressAutoHyphens w:val="true"/>
        <w:spacing w:lineRule="exact" w:line="220"/>
        <w:ind w:left="708" w:hanging="360"/>
        <w:jc w:val="both"/>
        <w:rPr>
          <w:rFonts w:ascii="Century Gothic" w:hAnsi="Century Gothic" w:cs="Arial"/>
        </w:rPr>
      </w:pPr>
      <w:r>
        <w:rPr>
          <w:rFonts w:cs="Arial" w:ascii="Century Gothic" w:hAnsi="Century Gothic"/>
        </w:rPr>
        <w:t>J. Sanchez Hubert,  E. Sanchez Palencia, Introduction aux méthodes asymptotiques et à l’homogénéisation, Ed. Masson, Paris, 1992</w:t>
      </w:r>
    </w:p>
    <w:p>
      <w:pPr>
        <w:pStyle w:val="Normal"/>
        <w:keepNext w:val="true"/>
        <w:keepLines/>
        <w:numPr>
          <w:ilvl w:val="0"/>
          <w:numId w:val="1"/>
        </w:numPr>
        <w:suppressAutoHyphens w:val="true"/>
        <w:spacing w:lineRule="exact" w:line="220"/>
        <w:ind w:left="708" w:hanging="360"/>
        <w:jc w:val="both"/>
        <w:rPr>
          <w:rFonts w:ascii="Century Gothic" w:hAnsi="Century Gothic" w:cs="Arial"/>
        </w:rPr>
      </w:pPr>
      <w:r>
        <w:rPr>
          <w:rFonts w:cs="Arial" w:ascii="Century Gothic" w:hAnsi="Century Gothic"/>
        </w:rPr>
        <w:t>G. Allaire, X. Blanc, B. Despres, F. Golze, Transport et Diffusion, Cours Ecole Polytechnique, Séries Mathématiques/Mathématiques Appliquées, 2015</w:t>
      </w:r>
    </w:p>
    <w:p>
      <w:pPr>
        <w:pStyle w:val="Normal"/>
        <w:keepNext w:val="true"/>
        <w:keepLines/>
        <w:numPr>
          <w:ilvl w:val="0"/>
          <w:numId w:val="1"/>
        </w:numPr>
        <w:suppressAutoHyphens w:val="true"/>
        <w:spacing w:lineRule="exact" w:line="220"/>
        <w:ind w:left="708" w:hanging="360"/>
        <w:jc w:val="both"/>
        <w:rPr>
          <w:rFonts w:ascii="Century Gothic" w:hAnsi="Century Gothic" w:cs="Arial"/>
        </w:rPr>
      </w:pPr>
      <w:r>
        <w:rPr>
          <w:rFonts w:cs="Arial" w:ascii="Century Gothic" w:hAnsi="Century Gothic"/>
          <w:lang w:val="en-US"/>
        </w:rPr>
        <w:t xml:space="preserve">K. Markov, Elementary Micromechanics of Heterogeneous Media, chapter in Micromechanics Modeling Methods and Simulation, Birkhauser, Boston 2000, pp 1-162, eds. </w:t>
      </w:r>
      <w:r>
        <w:rPr>
          <w:rFonts w:cs="Arial" w:ascii="Century Gothic" w:hAnsi="Century Gothic"/>
        </w:rPr>
        <w:t>K. Markov and L. Preziosi</w:t>
      </w:r>
    </w:p>
    <w:p>
      <w:pPr>
        <w:pStyle w:val="Normal"/>
        <w:keepNext w:val="true"/>
        <w:keepLines/>
        <w:numPr>
          <w:ilvl w:val="0"/>
          <w:numId w:val="1"/>
        </w:numPr>
        <w:suppressAutoHyphens w:val="true"/>
        <w:spacing w:lineRule="exact" w:line="220"/>
        <w:ind w:left="708" w:hanging="360"/>
        <w:jc w:val="both"/>
        <w:rPr>
          <w:rFonts w:ascii="Century Gothic" w:hAnsi="Century Gothic" w:cs="Arial"/>
        </w:rPr>
      </w:pPr>
      <w:r>
        <w:rPr>
          <w:rFonts w:cs="Arial" w:ascii="Century Gothic" w:hAnsi="Century Gothic"/>
        </w:rPr>
        <w:t>Guyon E., Hulin, J.-P. &amp; Petit L.,  Hydrodynamique physique,  EDP Sciences, 2012</w:t>
      </w:r>
    </w:p>
    <w:p>
      <w:pPr>
        <w:pStyle w:val="ListParagraph"/>
        <w:keepNext w:val="true"/>
        <w:keepLines/>
        <w:numPr>
          <w:ilvl w:val="0"/>
          <w:numId w:val="2"/>
        </w:numPr>
        <w:suppressAutoHyphens w:val="true"/>
        <w:spacing w:lineRule="exact" w:line="220"/>
        <w:jc w:val="both"/>
        <w:rPr>
          <w:rFonts w:ascii="Century Gothic" w:hAnsi="Century Gothic" w:cs="Arial"/>
        </w:rPr>
      </w:pPr>
      <w:r>
        <w:rPr>
          <w:rFonts w:cs="Arial" w:ascii="Century Gothic" w:hAnsi="Century Gothic"/>
        </w:rPr>
        <w:t>D. Barthes-Biesel, Microhydrodynamique et fluides complexes, Ellipses, Ed.Ecole Polytechnique, 2011</w:t>
      </w:r>
    </w:p>
    <w:p>
      <w:pPr>
        <w:pStyle w:val="ListParagraph"/>
        <w:widowControl w:val="false"/>
        <w:numPr>
          <w:ilvl w:val="0"/>
          <w:numId w:val="2"/>
        </w:numPr>
        <w:tabs>
          <w:tab w:val="clear" w:pos="709"/>
          <w:tab w:val="left" w:pos="2977" w:leader="none"/>
          <w:tab w:val="left" w:pos="4253" w:leader="none"/>
          <w:tab w:val="left" w:pos="5103" w:leader="none"/>
          <w:tab w:val="left" w:pos="5954" w:leader="none"/>
        </w:tabs>
        <w:spacing w:lineRule="auto" w:line="276"/>
        <w:ind w:left="720" w:right="312" w:hanging="360"/>
        <w:jc w:val="both"/>
        <w:rPr>
          <w:rFonts w:ascii="Century Gothic" w:hAnsi="Century Gothic" w:cs="Arial"/>
          <w:lang w:val="en-US"/>
        </w:rPr>
      </w:pPr>
      <w:r>
        <w:rPr>
          <w:rFonts w:cs="Arial" w:ascii="Century Gothic" w:hAnsi="Century Gothic"/>
          <w:lang w:val="en-US"/>
        </w:rPr>
        <w:t>E. Guazzelli and J.F.Morris, A Physical Introduction to Suspension Dynamics, Cambridge, University Press, 2011</w:t>
      </w:r>
    </w:p>
    <w:p>
      <w:pPr>
        <w:pStyle w:val="Normal"/>
        <w:widowControl w:val="false"/>
        <w:tabs>
          <w:tab w:val="clear" w:pos="709"/>
          <w:tab w:val="left" w:pos="2977" w:leader="none"/>
          <w:tab w:val="left" w:pos="4253" w:leader="none"/>
          <w:tab w:val="left" w:pos="5103" w:leader="none"/>
          <w:tab w:val="left" w:pos="5954" w:leader="none"/>
        </w:tabs>
        <w:spacing w:lineRule="auto" w:line="276"/>
        <w:ind w:left="284" w:right="312" w:hanging="0"/>
        <w:jc w:val="both"/>
        <w:rPr>
          <w:lang w:val="en-US"/>
        </w:rPr>
      </w:pPr>
      <w:r>
        <w:rPr>
          <w:lang w:val="en-US"/>
        </w:rPr>
      </w:r>
    </w:p>
    <w:p>
      <w:pPr>
        <w:pStyle w:val="Normal"/>
        <w:widowControl w:val="false"/>
        <w:pBdr>
          <w:bottom w:val="single" w:sz="4" w:space="1" w:color="000000"/>
        </w:pBdr>
        <w:tabs>
          <w:tab w:val="clear" w:pos="709"/>
          <w:tab w:val="left" w:pos="2977" w:leader="none"/>
          <w:tab w:val="left" w:pos="4253" w:leader="none"/>
          <w:tab w:val="left" w:pos="5103" w:leader="none"/>
          <w:tab w:val="left" w:pos="5954" w:leader="none"/>
        </w:tabs>
        <w:spacing w:lineRule="auto" w:line="276"/>
        <w:jc w:val="both"/>
        <w:rPr>
          <w:lang w:val="en-US"/>
        </w:rPr>
      </w:pPr>
      <w:r>
        <w:rPr>
          <w:lang w:val="en-US"/>
        </w:rPr>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en-US"/>
        </w:rPr>
      </w:pPr>
      <w:r>
        <w:rPr>
          <w:lang w:val="en-US"/>
        </w:rPr>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b/>
          <w:b/>
        </w:rPr>
      </w:pPr>
      <w:r>
        <w:rPr>
          <w:b/>
        </w:rPr>
        <w:t>Séquencement de l’enseignement (indicatif) :</w:t>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bl>
      <w:tblPr>
        <w:tblW w:w="11160" w:type="dxa"/>
        <w:jc w:val="left"/>
        <w:tblInd w:w="0" w:type="dxa"/>
        <w:tblCellMar>
          <w:top w:w="0" w:type="dxa"/>
          <w:left w:w="108" w:type="dxa"/>
          <w:bottom w:w="0" w:type="dxa"/>
          <w:right w:w="108" w:type="dxa"/>
        </w:tblCellMar>
        <w:tblLook w:val="04a0" w:noHBand="0" w:noVBand="1" w:firstColumn="1" w:lastRow="0" w:lastColumn="0" w:firstRow="1"/>
      </w:tblPr>
      <w:tblGrid>
        <w:gridCol w:w="1123"/>
        <w:gridCol w:w="2589"/>
        <w:gridCol w:w="2626"/>
        <w:gridCol w:w="1067"/>
        <w:gridCol w:w="2230"/>
        <w:gridCol w:w="1524"/>
      </w:tblGrid>
      <w:tr>
        <w:trPr/>
        <w:tc>
          <w:tcPr>
            <w:tcW w:w="11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semaine</w:t>
            </w:r>
          </w:p>
        </w:tc>
        <w:tc>
          <w:tcPr>
            <w:tcW w:w="25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C</w:t>
            </w:r>
          </w:p>
        </w:tc>
        <w:tc>
          <w:tcPr>
            <w:tcW w:w="26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TD</w:t>
            </w:r>
          </w:p>
        </w:tc>
        <w:tc>
          <w:tcPr>
            <w:tcW w:w="10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TP</w:t>
            </w:r>
          </w:p>
        </w:tc>
        <w:tc>
          <w:tcPr>
            <w:tcW w:w="22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Projet</w:t>
            </w:r>
          </w:p>
        </w:tc>
        <w:tc>
          <w:tcPr>
            <w:tcW w:w="152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Contrôle</w:t>
            </w:r>
          </w:p>
        </w:tc>
      </w:tr>
      <w:tr>
        <w:trPr/>
        <w:tc>
          <w:tcPr>
            <w:tcW w:w="11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S1</w:t>
            </w:r>
          </w:p>
        </w:tc>
        <w:tc>
          <w:tcPr>
            <w:tcW w:w="25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t>Introduction aux milieux poreux : exemples, caractéristiques géométriques. Lois macroscopiques, moyenne  volumique sur un VER</w:t>
            </w:r>
          </w:p>
        </w:tc>
        <w:tc>
          <w:tcPr>
            <w:tcW w:w="26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 xml:space="preserve">Calcul de la conductivité moyenne d’une dispersion diluée de sphères </w:t>
            </w:r>
          </w:p>
        </w:tc>
        <w:tc>
          <w:tcPr>
            <w:tcW w:w="10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22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52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r>
      <w:tr>
        <w:trPr/>
        <w:tc>
          <w:tcPr>
            <w:tcW w:w="11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S2</w:t>
            </w:r>
          </w:p>
        </w:tc>
        <w:tc>
          <w:tcPr>
            <w:tcW w:w="25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Méthode d’homogénéisation des milieux périodiques, avec des développements asymptotiques en échelles multiples</w:t>
            </w:r>
          </w:p>
        </w:tc>
        <w:tc>
          <w:tcPr>
            <w:tcW w:w="26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Exemple sur la conductivité thermique d’un milieu poreux périodique : obtention de la loi macroscopique et calcul des coefficients moyens</w:t>
            </w:r>
          </w:p>
        </w:tc>
        <w:tc>
          <w:tcPr>
            <w:tcW w:w="10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22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Analyse d’un article sur un problème d’homogénéisation</w:t>
            </w:r>
          </w:p>
        </w:tc>
        <w:tc>
          <w:tcPr>
            <w:tcW w:w="152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r>
      <w:tr>
        <w:trPr/>
        <w:tc>
          <w:tcPr>
            <w:tcW w:w="11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S3</w:t>
            </w:r>
          </w:p>
        </w:tc>
        <w:tc>
          <w:tcPr>
            <w:tcW w:w="25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Lois de filtration en milieu poreux : loi de Darcy Forchheimer, Brinkman.</w:t>
            </w:r>
          </w:p>
        </w:tc>
        <w:tc>
          <w:tcPr>
            <w:tcW w:w="26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Homogénéisation d’un écoulement de Stokes en milieux poreux </w:t>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0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22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52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r>
      <w:tr>
        <w:trPr/>
        <w:tc>
          <w:tcPr>
            <w:tcW w:w="11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S4</w:t>
            </w:r>
          </w:p>
        </w:tc>
        <w:tc>
          <w:tcPr>
            <w:tcW w:w="25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 xml:space="preserve">Modèle de milieu poreux à deux dimensions : cellule de Hele-Shaw </w:t>
            </w:r>
          </w:p>
        </w:tc>
        <w:tc>
          <w:tcPr>
            <w:tcW w:w="26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Modèle de milieu poreux comme un réseau de capillaires, perméabilité, tortuosité</w:t>
            </w:r>
          </w:p>
        </w:tc>
        <w:tc>
          <w:tcPr>
            <w:tcW w:w="10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22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52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r>
      <w:tr>
        <w:trPr/>
        <w:tc>
          <w:tcPr>
            <w:tcW w:w="11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S5</w:t>
            </w:r>
          </w:p>
        </w:tc>
        <w:tc>
          <w:tcPr>
            <w:tcW w:w="25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t>Propriétés physiques des suspensions.</w:t>
            </w:r>
          </w:p>
        </w:tc>
        <w:tc>
          <w:tcPr>
            <w:tcW w:w="26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t>Solutions des équations de Stokes autour d'une sphère.</w:t>
            </w:r>
          </w:p>
        </w:tc>
        <w:tc>
          <w:tcPr>
            <w:tcW w:w="10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22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52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r>
      <w:tr>
        <w:trPr/>
        <w:tc>
          <w:tcPr>
            <w:tcW w:w="11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S6</w:t>
            </w:r>
          </w:p>
        </w:tc>
        <w:tc>
          <w:tcPr>
            <w:tcW w:w="25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t>Vitesse moyenne de sédimentation d'une suspension de sphères</w:t>
            </w:r>
          </w:p>
        </w:tc>
        <w:tc>
          <w:tcPr>
            <w:tcW w:w="26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t>Sphère en translation dans un fluide à petit Re. Notion de Stokeslet.</w:t>
            </w:r>
          </w:p>
        </w:tc>
        <w:tc>
          <w:tcPr>
            <w:tcW w:w="10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22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Données pour analyse</w:t>
            </w:r>
          </w:p>
        </w:tc>
        <w:tc>
          <w:tcPr>
            <w:tcW w:w="152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r>
      <w:tr>
        <w:trPr/>
        <w:tc>
          <w:tcPr>
            <w:tcW w:w="11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S7</w:t>
            </w:r>
          </w:p>
        </w:tc>
        <w:tc>
          <w:tcPr>
            <w:tcW w:w="25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t>Viscosité moyenne d'une suspension de sphères</w:t>
            </w:r>
          </w:p>
        </w:tc>
        <w:tc>
          <w:tcPr>
            <w:tcW w:w="26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t>Sphère dans un écoulement linéaire. Notion de Stresslet.</w:t>
            </w:r>
          </w:p>
        </w:tc>
        <w:tc>
          <w:tcPr>
            <w:tcW w:w="10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22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52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r>
      <w:tr>
        <w:trPr/>
        <w:tc>
          <w:tcPr>
            <w:tcW w:w="11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S8</w:t>
            </w:r>
          </w:p>
        </w:tc>
        <w:tc>
          <w:tcPr>
            <w:tcW w:w="25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t>Dynamique des suspensions de fibres</w:t>
            </w:r>
          </w:p>
        </w:tc>
        <w:tc>
          <w:tcPr>
            <w:tcW w:w="26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t>Suspension de fibres en écoulement élongationnel</w:t>
            </w:r>
          </w:p>
        </w:tc>
        <w:tc>
          <w:tcPr>
            <w:tcW w:w="10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22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52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r>
      <w:tr>
        <w:trPr/>
        <w:tc>
          <w:tcPr>
            <w:tcW w:w="11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25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r>
          </w:p>
        </w:tc>
        <w:tc>
          <w:tcPr>
            <w:tcW w:w="26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0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22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t>Compte-Rendu de l'analyse</w:t>
            </w:r>
          </w:p>
        </w:tc>
        <w:tc>
          <w:tcPr>
            <w:tcW w:w="152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Revisions</w:t>
            </w:r>
          </w:p>
        </w:tc>
      </w:tr>
      <w:tr>
        <w:trPr/>
        <w:tc>
          <w:tcPr>
            <w:tcW w:w="11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25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r>
          </w:p>
        </w:tc>
        <w:tc>
          <w:tcPr>
            <w:tcW w:w="26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0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22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52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3 h</w:t>
            </w:r>
          </w:p>
        </w:tc>
      </w:tr>
    </w:tbl>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b/>
          <w:b/>
          <w:bCs/>
        </w:rPr>
      </w:pPr>
      <w:r>
        <w:rPr>
          <w:b/>
          <w:bCs/>
        </w:rPr>
        <w:t xml:space="preserve">Date de la rédaction de la fiche d’UE : </w:t>
      </w:r>
      <w:r>
        <w:rPr>
          <w:bCs/>
        </w:rPr>
        <w:t>03/06/2022</w:t>
      </w:r>
    </w:p>
    <w:p>
      <w:pPr>
        <w:pStyle w:val="Normal"/>
        <w:widowControl w:val="false"/>
        <w:jc w:val="both"/>
        <w:rPr>
          <w:b/>
          <w:b/>
          <w:bCs/>
        </w:rPr>
      </w:pPr>
      <w:r>
        <w:rPr>
          <w:b/>
          <w:bCs/>
        </w:rPr>
        <w:t xml:space="preserve">Rédacteurs : </w:t>
      </w:r>
      <w:r>
        <w:rPr>
          <w:bCs/>
        </w:rPr>
        <w:t>Diana Baltean-Carlès &amp; Anne Mongruel</w:t>
      </w:r>
    </w:p>
    <w:p>
      <w:pPr>
        <w:pStyle w:val="Normal"/>
        <w:widowControl w:val="false"/>
        <w:jc w:val="both"/>
        <w:rPr>
          <w:b/>
          <w:b/>
          <w:bCs/>
        </w:rPr>
      </w:pPr>
      <w:r>
        <w:rPr>
          <w:b/>
          <w:bCs/>
        </w:rPr>
      </w:r>
    </w:p>
    <w:p>
      <w:pPr>
        <w:pStyle w:val="Normal"/>
        <w:widowControl w:val="false"/>
        <w:jc w:val="both"/>
        <w:rPr>
          <w:b/>
          <w:b/>
          <w:bCs/>
        </w:rPr>
      </w:pPr>
      <w:r>
        <w:rPr/>
      </w:r>
    </w:p>
    <w:sectPr>
      <w:headerReference w:type="default" r:id="rId2"/>
      <w:footerReference w:type="default" r:id="rId3"/>
      <w:type w:val="nextPage"/>
      <w:pgSz w:w="12240" w:h="15840"/>
      <w:pgMar w:left="720" w:right="720" w:header="720" w:top="777" w:footer="720" w:bottom="777" w:gutter="0"/>
      <w:pgNumType w:fmt="decimal"/>
      <w:formProt w:val="false"/>
      <w:textDirection w:val="lrTb"/>
      <w:docGrid w:type="default" w:linePitch="272"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Times">
    <w:altName w:val="Times New Roman"/>
    <w:charset w:val="01"/>
    <w:family w:val="roman"/>
    <w:pitch w:val="variable"/>
  </w:font>
  <w:font w:name="Verdana">
    <w:charset w:val="01"/>
    <w:family w:val="roman"/>
    <w:pitch w:val="variable"/>
  </w:font>
  <w:font w:name="Tahoma">
    <w:charset w:val="01"/>
    <w:family w:val="roman"/>
    <w:pitch w:val="variable"/>
  </w:font>
  <w:font w:name="Liberation Sans">
    <w:altName w:val="Arial"/>
    <w:charset w:val="01"/>
    <w:family w:val="swiss"/>
    <w:pitch w:val="variable"/>
  </w:font>
  <w:font w:name="Century Gothic">
    <w:charset w:val="01"/>
    <w:family w:val="roman"/>
    <w:pitch w:val="variable"/>
  </w:font>
  <w:font w:name="Symbol">
    <w:charset w:val="02"/>
    <w:family w:val="auto"/>
    <w:pitch w:val="default"/>
  </w:font>
  <w:font w:name="Courier New">
    <w:charset w:val="01"/>
    <w:family w:val="auto"/>
    <w:pitch w:val="default"/>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jc w:val="right"/>
      <w:rPr>
        <w:sz w:val="18"/>
        <w:szCs w:val="18"/>
      </w:rPr>
    </w:pPr>
    <w:r>
      <w:rPr>
        <w:sz w:val="18"/>
        <w:szCs w:val="18"/>
      </w:rPr>
      <w:fldChar w:fldCharType="begin"/>
    </w:r>
    <w:r>
      <w:rPr>
        <w:sz w:val="18"/>
        <w:szCs w:val="18"/>
      </w:rPr>
      <w:instrText> PAGE </w:instrText>
    </w:r>
    <w:r>
      <w:rPr>
        <w:sz w:val="18"/>
        <w:szCs w:val="18"/>
      </w:rPr>
      <w:fldChar w:fldCharType="separate"/>
    </w:r>
    <w:r>
      <w:rPr>
        <w:sz w:val="18"/>
        <w:szCs w:val="18"/>
      </w:rPr>
      <w:t>4</w:t>
    </w:r>
    <w:r>
      <w:rPr>
        <w:sz w:val="18"/>
        <w:szCs w:val="18"/>
      </w:rPr>
      <w:fldChar w:fldCharType="end"/>
    </w:r>
  </w:p>
  <w:p>
    <w:pPr>
      <w:pStyle w:val="Pieddepage"/>
      <w:rPr>
        <w:sz w:val="18"/>
        <w:szCs w:val="18"/>
      </w:rPr>
    </w:pPr>
    <w:r>
      <w:rPr>
        <w:sz w:val="18"/>
        <w:szCs w:val="18"/>
      </w:rPr>
      <w:t>Accréditation 2019-2025</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Grilledutableau"/>
      <w:tblW w:w="10791" w:type="dxa"/>
      <w:jc w:val="left"/>
      <w:tblInd w:w="0" w:type="dxa"/>
      <w:tblCellMar>
        <w:top w:w="0" w:type="dxa"/>
        <w:left w:w="108" w:type="dxa"/>
        <w:bottom w:w="0" w:type="dxa"/>
        <w:right w:w="108" w:type="dxa"/>
      </w:tblCellMar>
      <w:tblLook w:val="04a0" w:noHBand="0" w:noVBand="1" w:firstColumn="1" w:lastRow="0" w:lastColumn="0" w:firstRow="1"/>
    </w:tblPr>
    <w:tblGrid>
      <w:gridCol w:w="2689"/>
      <w:gridCol w:w="6237"/>
      <w:gridCol w:w="1865"/>
    </w:tblGrid>
    <w:tr>
      <w:trPr/>
      <w:tc>
        <w:tcPr>
          <w:tcW w:w="2689" w:type="dxa"/>
          <w:tcBorders>
            <w:top w:val="nil"/>
            <w:left w:val="nil"/>
            <w:bottom w:val="nil"/>
            <w:right w:val="nil"/>
          </w:tcBorders>
        </w:tcPr>
        <w:p>
          <w:pPr>
            <w:pStyle w:val="Entte"/>
            <w:rPr/>
          </w:pPr>
          <w:r>
            <w:rPr/>
            <w:drawing>
              <wp:inline distT="0" distB="0" distL="0" distR="0">
                <wp:extent cx="1495425" cy="600075"/>
                <wp:effectExtent l="0" t="0" r="0" b="0"/>
                <wp:docPr id="1" name="Image 5" descr="LOGO_SCIENCES_DEF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5" descr="LOGO_SCIENCES_DEF_CMJN"/>
                        <pic:cNvPicPr>
                          <a:picLocks noChangeAspect="1" noChangeArrowheads="1"/>
                        </pic:cNvPicPr>
                      </pic:nvPicPr>
                      <pic:blipFill>
                        <a:blip r:embed="rId1"/>
                        <a:stretch>
                          <a:fillRect/>
                        </a:stretch>
                      </pic:blipFill>
                      <pic:spPr bwMode="auto">
                        <a:xfrm>
                          <a:off x="0" y="0"/>
                          <a:ext cx="1495425" cy="600075"/>
                        </a:xfrm>
                        <a:prstGeom prst="rect">
                          <a:avLst/>
                        </a:prstGeom>
                      </pic:spPr>
                    </pic:pic>
                  </a:graphicData>
                </a:graphic>
              </wp:inline>
            </w:drawing>
          </w:r>
        </w:p>
      </w:tc>
      <w:tc>
        <w:tcPr>
          <w:tcW w:w="6237" w:type="dxa"/>
          <w:tcBorders>
            <w:top w:val="nil"/>
            <w:left w:val="nil"/>
            <w:bottom w:val="nil"/>
            <w:right w:val="nil"/>
          </w:tcBorders>
        </w:tcPr>
        <w:p>
          <w:pPr>
            <w:pStyle w:val="Entte"/>
            <w:jc w:val="center"/>
            <w:rPr>
              <w:b/>
              <w:b/>
              <w:bCs/>
              <w:sz w:val="32"/>
              <w:szCs w:val="32"/>
            </w:rPr>
          </w:pPr>
          <w:r>
            <w:rPr>
              <w:b/>
              <w:bCs/>
              <w:sz w:val="32"/>
              <w:szCs w:val="32"/>
            </w:rPr>
            <w:t>Département des Masters de Sciences de l’Ingénieur</w:t>
          </w:r>
        </w:p>
      </w:tc>
      <w:tc>
        <w:tcPr>
          <w:tcW w:w="1865" w:type="dxa"/>
          <w:tcBorders>
            <w:top w:val="nil"/>
            <w:left w:val="nil"/>
            <w:bottom w:val="nil"/>
            <w:right w:val="nil"/>
          </w:tcBorders>
        </w:tcPr>
        <w:p>
          <w:pPr>
            <w:pStyle w:val="Entte"/>
            <w:jc w:val="right"/>
            <w:rPr/>
          </w:pPr>
          <w:r>
            <w:rPr/>
            <w:drawing>
              <wp:inline distT="0" distB="0" distL="0" distR="0">
                <wp:extent cx="838200" cy="609600"/>
                <wp:effectExtent l="0" t="0" r="0" b="0"/>
                <wp:docPr id="2" name="Imag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6" descr=""/>
                        <pic:cNvPicPr>
                          <a:picLocks noChangeAspect="1" noChangeArrowheads="1"/>
                        </pic:cNvPicPr>
                      </pic:nvPicPr>
                      <pic:blipFill>
                        <a:blip r:embed="rId2"/>
                        <a:stretch>
                          <a:fillRect/>
                        </a:stretch>
                      </pic:blipFill>
                      <pic:spPr bwMode="auto">
                        <a:xfrm>
                          <a:off x="0" y="0"/>
                          <a:ext cx="838200" cy="609600"/>
                        </a:xfrm>
                        <a:prstGeom prst="rect">
                          <a:avLst/>
                        </a:prstGeom>
                      </pic:spPr>
                    </pic:pic>
                  </a:graphicData>
                </a:graphic>
              </wp:inline>
            </w:drawing>
          </w:r>
        </w:p>
      </w:tc>
    </w:tr>
  </w:tbl>
  <w:p>
    <w:pPr>
      <w:pStyle w:val="Entte"/>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88" w:hanging="360"/>
      </w:pPr>
      <w:rPr>
        <w:rFonts w:ascii="Symbol" w:hAnsi="Symbol" w:cs="Symbol" w:hint="default"/>
      </w:rPr>
    </w:lvl>
    <w:lvl w:ilvl="1">
      <w:start w:val="1"/>
      <w:numFmt w:val="lowerLetter"/>
      <w:lvlText w:val="%2."/>
      <w:lvlJc w:val="left"/>
      <w:pPr>
        <w:tabs>
          <w:tab w:val="num" w:pos="0"/>
        </w:tabs>
        <w:ind w:left="1508" w:hanging="360"/>
      </w:pPr>
    </w:lvl>
    <w:lvl w:ilvl="2">
      <w:start w:val="1"/>
      <w:numFmt w:val="lowerRoman"/>
      <w:lvlText w:val="%3."/>
      <w:lvlJc w:val="right"/>
      <w:pPr>
        <w:tabs>
          <w:tab w:val="num" w:pos="0"/>
        </w:tabs>
        <w:ind w:left="2228" w:hanging="180"/>
      </w:pPr>
    </w:lvl>
    <w:lvl w:ilvl="3">
      <w:start w:val="1"/>
      <w:numFmt w:val="decimal"/>
      <w:lvlText w:val="%4."/>
      <w:lvlJc w:val="left"/>
      <w:pPr>
        <w:tabs>
          <w:tab w:val="num" w:pos="0"/>
        </w:tabs>
        <w:ind w:left="2948" w:hanging="360"/>
      </w:pPr>
    </w:lvl>
    <w:lvl w:ilvl="4">
      <w:start w:val="1"/>
      <w:numFmt w:val="lowerLetter"/>
      <w:lvlText w:val="%5."/>
      <w:lvlJc w:val="left"/>
      <w:pPr>
        <w:tabs>
          <w:tab w:val="num" w:pos="0"/>
        </w:tabs>
        <w:ind w:left="3668" w:hanging="360"/>
      </w:pPr>
    </w:lvl>
    <w:lvl w:ilvl="5">
      <w:start w:val="1"/>
      <w:numFmt w:val="lowerRoman"/>
      <w:lvlText w:val="%6."/>
      <w:lvlJc w:val="right"/>
      <w:pPr>
        <w:tabs>
          <w:tab w:val="num" w:pos="0"/>
        </w:tabs>
        <w:ind w:left="4388" w:hanging="180"/>
      </w:pPr>
    </w:lvl>
    <w:lvl w:ilvl="6">
      <w:start w:val="1"/>
      <w:numFmt w:val="decimal"/>
      <w:lvlText w:val="%7."/>
      <w:lvlJc w:val="left"/>
      <w:pPr>
        <w:tabs>
          <w:tab w:val="num" w:pos="0"/>
        </w:tabs>
        <w:ind w:left="5108" w:hanging="360"/>
      </w:pPr>
    </w:lvl>
    <w:lvl w:ilvl="7">
      <w:start w:val="1"/>
      <w:numFmt w:val="lowerLetter"/>
      <w:lvlText w:val="%8."/>
      <w:lvlJc w:val="left"/>
      <w:pPr>
        <w:tabs>
          <w:tab w:val="num" w:pos="0"/>
        </w:tabs>
        <w:ind w:left="5828" w:hanging="360"/>
      </w:pPr>
    </w:lvl>
    <w:lvl w:ilvl="8">
      <w:start w:val="1"/>
      <w:numFmt w:val="lowerRoman"/>
      <w:lvlText w:val="%9."/>
      <w:lvlJc w:val="right"/>
      <w:pPr>
        <w:tabs>
          <w:tab w:val="num" w:pos="0"/>
        </w:tabs>
        <w:ind w:left="6548" w:hanging="180"/>
      </w:p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50"/>
  <w:defaultTabStop w:val="709"/>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hyphenationZone w:val="425"/>
  <w:themeFontLang w:val="fr-FR"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4"/>
        <w:szCs w:val="24"/>
        <w:lang w:val="fr-FR" w:eastAsia="fr-FR"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semiHidden="0" w:unhideWhenUsed="0" w:qFormat="1"/>
    <w:lsdException w:name="heading 3" w:uiPriority="9" w:semiHidden="0" w:unhideWhenUsed="0" w:qFormat="1"/>
    <w:lsdException w:name="heading 4" w:uiPriority="9" w:semiHidden="0" w:unhideWhenUsed="0" w:qFormat="1"/>
    <w:lsdException w:name="heading 5" w:uiPriority="9" w:semiHidden="0" w:unhideWhenUsed="0" w:qFormat="1"/>
    <w:lsdException w:name="heading 6" w:uiPriority="9" w:semiHidden="0" w:unhideWhenUsed="0" w:qFormat="1"/>
    <w:lsdException w:name="heading 7" w:uiPriority="9" w:semiHidden="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before="0" w:after="0"/>
      <w:jc w:val="left"/>
    </w:pPr>
    <w:rPr>
      <w:rFonts w:ascii="Arial" w:hAnsi="Arial" w:eastAsia="Times New Roman" w:cs="Times New Roman"/>
      <w:color w:val="auto"/>
      <w:kern w:val="0"/>
      <w:sz w:val="24"/>
      <w:szCs w:val="24"/>
      <w:lang w:val="fr-FR" w:eastAsia="fr-FR" w:bidi="ar-SA"/>
    </w:rPr>
  </w:style>
  <w:style w:type="paragraph" w:styleId="Titre1">
    <w:name w:val="Heading 1"/>
    <w:basedOn w:val="Normal"/>
    <w:next w:val="Normal"/>
    <w:qFormat/>
    <w:pPr>
      <w:keepNext w:val="true"/>
      <w:jc w:val="center"/>
      <w:outlineLvl w:val="0"/>
    </w:pPr>
    <w:rPr>
      <w:sz w:val="28"/>
    </w:rPr>
  </w:style>
  <w:style w:type="paragraph" w:styleId="Titre2">
    <w:name w:val="Heading 2"/>
    <w:basedOn w:val="Normal"/>
    <w:next w:val="Normal"/>
    <w:qFormat/>
    <w:pPr>
      <w:keepNext w:val="true"/>
      <w:outlineLvl w:val="1"/>
    </w:pPr>
    <w:rPr>
      <w:sz w:val="28"/>
    </w:rPr>
  </w:style>
  <w:style w:type="paragraph" w:styleId="Titre3">
    <w:name w:val="Heading 3"/>
    <w:basedOn w:val="Normal"/>
    <w:next w:val="Normal"/>
    <w:qFormat/>
    <w:pPr>
      <w:keepNext w:val="true"/>
      <w:outlineLvl w:val="2"/>
    </w:pPr>
    <w:rPr>
      <w:sz w:val="28"/>
      <w:u w:val="single"/>
    </w:rPr>
  </w:style>
  <w:style w:type="paragraph" w:styleId="Titre4">
    <w:name w:val="Heading 4"/>
    <w:basedOn w:val="Normal"/>
    <w:next w:val="Normal"/>
    <w:qFormat/>
    <w:pPr>
      <w:keepNext w:val="true"/>
      <w:spacing w:before="240" w:after="60"/>
      <w:outlineLvl w:val="3"/>
    </w:pPr>
    <w:rPr>
      <w:rFonts w:ascii="Times New Roman" w:hAnsi="Times New Roman" w:eastAsia="Times"/>
      <w:b/>
      <w:sz w:val="28"/>
    </w:rPr>
  </w:style>
  <w:style w:type="paragraph" w:styleId="Titre5">
    <w:name w:val="Heading 5"/>
    <w:basedOn w:val="Normal"/>
    <w:next w:val="Normal"/>
    <w:qFormat/>
    <w:pPr>
      <w:spacing w:before="240" w:after="60"/>
      <w:outlineLvl w:val="4"/>
    </w:pPr>
    <w:rPr>
      <w:rFonts w:ascii="Times" w:hAnsi="Times" w:eastAsia="Times"/>
      <w:b/>
      <w:bCs/>
      <w:i/>
      <w:iCs/>
      <w:sz w:val="26"/>
      <w:szCs w:val="26"/>
    </w:rPr>
  </w:style>
  <w:style w:type="paragraph" w:styleId="Titre6">
    <w:name w:val="Heading 6"/>
    <w:basedOn w:val="Normal"/>
    <w:next w:val="Normal"/>
    <w:qFormat/>
    <w:pPr>
      <w:keepNext w:val="true"/>
      <w:keepLines/>
      <w:spacing w:lineRule="exact" w:line="220"/>
      <w:outlineLvl w:val="5"/>
    </w:pPr>
    <w:rPr>
      <w:b/>
      <w:color w:val="808080"/>
      <w:sz w:val="22"/>
    </w:rPr>
  </w:style>
  <w:style w:type="paragraph" w:styleId="Titre7">
    <w:name w:val="Heading 7"/>
    <w:basedOn w:val="Normal"/>
    <w:next w:val="Normal"/>
    <w:qFormat/>
    <w:pPr>
      <w:spacing w:before="240" w:after="60"/>
      <w:outlineLvl w:val="6"/>
    </w:pPr>
    <w:rPr>
      <w:rFonts w:ascii="Times New Roman" w:hAnsi="Times New Roman"/>
    </w:rPr>
  </w:style>
  <w:style w:type="character" w:styleId="DefaultParagraphFont" w:default="1">
    <w:name w:val="Default Paragraph Font"/>
    <w:uiPriority w:val="1"/>
    <w:semiHidden/>
    <w:unhideWhenUsed/>
    <w:qFormat/>
    <w:rPr/>
  </w:style>
  <w:style w:type="character" w:styleId="Titre11" w:customStyle="1">
    <w:name w:val="titre1"/>
    <w:qFormat/>
    <w:rPr>
      <w:rFonts w:ascii="Verdana" w:hAnsi="Verdana"/>
      <w:i w:val="false"/>
      <w:iCs w:val="false"/>
      <w:color w:val="0066B3"/>
      <w:sz w:val="24"/>
      <w:szCs w:val="24"/>
    </w:rPr>
  </w:style>
  <w:style w:type="character" w:styleId="LienInternet">
    <w:name w:val="Lien Internet"/>
    <w:semiHidden/>
    <w:rPr>
      <w:color w:val="0000FF"/>
      <w:u w:val="single"/>
    </w:rPr>
  </w:style>
  <w:style w:type="character" w:styleId="Strong">
    <w:name w:val="Strong"/>
    <w:qFormat/>
    <w:rPr>
      <w:b/>
      <w:bCs/>
    </w:rPr>
  </w:style>
  <w:style w:type="character" w:styleId="CorpsdetexteCar" w:customStyle="1">
    <w:name w:val="Corps de texte Car"/>
    <w:qFormat/>
    <w:rPr>
      <w:rFonts w:ascii="Arial" w:hAnsi="Arial"/>
      <w:sz w:val="18"/>
      <w:lang w:val="fr-FR" w:eastAsia="fr-FR" w:bidi="ar-SA"/>
    </w:rPr>
  </w:style>
  <w:style w:type="character" w:styleId="Pagenumber">
    <w:name w:val="page number"/>
    <w:basedOn w:val="DefaultParagraphFont"/>
    <w:semiHidden/>
    <w:qFormat/>
    <w:rPr/>
  </w:style>
  <w:style w:type="character" w:styleId="LienInternetvisit">
    <w:name w:val="Lien Internet visité"/>
    <w:semiHidden/>
    <w:rPr>
      <w:color w:val="800080"/>
      <w:u w:val="single"/>
    </w:rPr>
  </w:style>
  <w:style w:type="character" w:styleId="EntteCar" w:customStyle="1">
    <w:name w:val="En-tête Car"/>
    <w:link w:val="En-tte"/>
    <w:uiPriority w:val="99"/>
    <w:qFormat/>
    <w:rsid w:val="00c10554"/>
    <w:rPr>
      <w:rFonts w:ascii="Tahoma" w:hAnsi="Tahoma" w:cs="Wingdings"/>
      <w:sz w:val="24"/>
      <w:szCs w:val="24"/>
    </w:rPr>
  </w:style>
  <w:style w:type="character" w:styleId="PieddepageCar" w:customStyle="1">
    <w:name w:val="Pied de page Car"/>
    <w:link w:val="Pieddepage"/>
    <w:uiPriority w:val="99"/>
    <w:qFormat/>
    <w:rsid w:val="00315082"/>
    <w:rPr>
      <w:rFonts w:ascii="Arial" w:hAnsi="Arial"/>
    </w:rPr>
  </w:style>
  <w:style w:type="paragraph" w:styleId="Titre">
    <w:name w:val="Titre"/>
    <w:basedOn w:val="Normal"/>
    <w:next w:val="Corpsdetexte"/>
    <w:qFormat/>
    <w:pPr>
      <w:keepNext w:val="true"/>
      <w:spacing w:before="240" w:after="120"/>
    </w:pPr>
    <w:rPr>
      <w:rFonts w:ascii="Liberation Sans" w:hAnsi="Liberation Sans" w:eastAsia="Noto Sans CJK SC" w:cs="Lohit Devanagari"/>
      <w:sz w:val="28"/>
      <w:szCs w:val="28"/>
    </w:rPr>
  </w:style>
  <w:style w:type="paragraph" w:styleId="Corpsdetexte">
    <w:name w:val="Body Text"/>
    <w:basedOn w:val="Normal"/>
    <w:semiHidden/>
    <w:pPr>
      <w:keepNext w:val="true"/>
      <w:keepLines/>
      <w:spacing w:lineRule="exact" w:line="220"/>
      <w:jc w:val="both"/>
    </w:pPr>
    <w:rPr>
      <w:sz w:val="18"/>
    </w:rPr>
  </w:style>
  <w:style w:type="paragraph" w:styleId="Liste">
    <w:name w:val="List"/>
    <w:basedOn w:val="Corpsdetexte"/>
    <w:pPr/>
    <w:rPr>
      <w:rFonts w:cs="Lohit Devanagari"/>
    </w:rPr>
  </w:style>
  <w:style w:type="paragraph" w:styleId="Lgende">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BodyText2">
    <w:name w:val="Body Text 2"/>
    <w:basedOn w:val="Normal"/>
    <w:semiHidden/>
    <w:qFormat/>
    <w:pPr>
      <w:keepNext w:val="true"/>
      <w:keepLines/>
      <w:spacing w:lineRule="atLeast" w:line="300"/>
      <w:jc w:val="both"/>
    </w:pPr>
    <w:rPr/>
  </w:style>
  <w:style w:type="paragraph" w:styleId="BodyText3">
    <w:name w:val="Body Text 3"/>
    <w:basedOn w:val="Normal"/>
    <w:semiHidden/>
    <w:qFormat/>
    <w:pPr/>
    <w:rPr/>
  </w:style>
  <w:style w:type="paragraph" w:styleId="Entteetpieddepage">
    <w:name w:val="En-tête et pied de page"/>
    <w:basedOn w:val="Normal"/>
    <w:qFormat/>
    <w:pPr/>
    <w:rPr/>
  </w:style>
  <w:style w:type="paragraph" w:styleId="Entte">
    <w:name w:val="Header"/>
    <w:basedOn w:val="Normal"/>
    <w:link w:val="En-tteCar"/>
    <w:uiPriority w:val="99"/>
    <w:pPr>
      <w:tabs>
        <w:tab w:val="clear" w:pos="709"/>
        <w:tab w:val="center" w:pos="4536" w:leader="none"/>
        <w:tab w:val="right" w:pos="9072" w:leader="none"/>
      </w:tabs>
    </w:pPr>
    <w:rPr>
      <w:rFonts w:ascii="Tahoma" w:hAnsi="Tahoma" w:cs="Wingdings"/>
    </w:rPr>
  </w:style>
  <w:style w:type="paragraph" w:styleId="Soustexte" w:customStyle="1">
    <w:name w:val="sous-texte"/>
    <w:basedOn w:val="Normal"/>
    <w:qFormat/>
    <w:pPr>
      <w:spacing w:lineRule="exact" w:line="240"/>
      <w:ind w:left="1560" w:hanging="0"/>
      <w:jc w:val="both"/>
    </w:pPr>
    <w:rPr>
      <w:rFonts w:ascii="Verdana" w:hAnsi="Verdana"/>
      <w:i/>
      <w:sz w:val="16"/>
    </w:rPr>
  </w:style>
  <w:style w:type="paragraph" w:styleId="Retraitdecorpsdetexte">
    <w:name w:val="Body Text Indent"/>
    <w:basedOn w:val="Normal"/>
    <w:semiHidden/>
    <w:pPr>
      <w:spacing w:before="0" w:after="120"/>
      <w:ind w:left="283" w:hanging="0"/>
    </w:pPr>
    <w:rPr/>
  </w:style>
  <w:style w:type="paragraph" w:styleId="Pieddepage">
    <w:name w:val="Footer"/>
    <w:basedOn w:val="Normal"/>
    <w:link w:val="PieddepageCar"/>
    <w:uiPriority w:val="99"/>
    <w:pPr>
      <w:tabs>
        <w:tab w:val="clear" w:pos="709"/>
        <w:tab w:val="center" w:pos="4536" w:leader="none"/>
        <w:tab w:val="right" w:pos="9072" w:leader="none"/>
      </w:tabs>
    </w:pPr>
    <w:rPr/>
  </w:style>
  <w:style w:type="paragraph" w:styleId="BalloonText">
    <w:name w:val="Balloon Text"/>
    <w:basedOn w:val="Normal"/>
    <w:semiHidden/>
    <w:qFormat/>
    <w:rsid w:val="00866be8"/>
    <w:pPr/>
    <w:rPr>
      <w:rFonts w:ascii="Tahoma" w:hAnsi="Tahoma" w:cs="Tahoma"/>
      <w:sz w:val="16"/>
      <w:szCs w:val="16"/>
    </w:rPr>
  </w:style>
  <w:style w:type="paragraph" w:styleId="Style7" w:customStyle="1">
    <w:name w:val="Style"/>
    <w:qFormat/>
    <w:rsid w:val="007d2a41"/>
    <w:pPr>
      <w:widowControl w:val="false"/>
      <w:bidi w:val="0"/>
      <w:spacing w:before="0" w:after="0"/>
      <w:jc w:val="left"/>
    </w:pPr>
    <w:rPr>
      <w:rFonts w:ascii="Times New Roman" w:hAnsi="Times New Roman" w:eastAsia="Times New Roman" w:cs="Times New Roman"/>
      <w:color w:val="auto"/>
      <w:kern w:val="0"/>
      <w:sz w:val="24"/>
      <w:szCs w:val="24"/>
      <w:lang w:val="fr-FR" w:eastAsia="fr-FR" w:bidi="ar-SA"/>
    </w:rPr>
  </w:style>
  <w:style w:type="paragraph" w:styleId="ListParagraph">
    <w:name w:val="List Paragraph"/>
    <w:basedOn w:val="Normal"/>
    <w:uiPriority w:val="34"/>
    <w:qFormat/>
    <w:rsid w:val="0020345a"/>
    <w:pPr>
      <w:spacing w:before="0" w:after="0"/>
      <w:ind w:left="720" w:hanging="0"/>
      <w:contextualSpacing/>
    </w:pPr>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table" w:styleId="Grilledutableau">
    <w:name w:val="Table Grid"/>
    <w:basedOn w:val="TableauNormal"/>
    <w:uiPriority w:val="59"/>
    <w:rsid w:val="00c1055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212</TotalTime>
  <Application>LibreOffice/6.4.7.2$Linux_X86_64 LibreOffice_project/40$Build-2</Application>
  <Pages>4</Pages>
  <Words>901</Words>
  <Characters>5637</Characters>
  <CharactersWithSpaces>6639</CharactersWithSpaces>
  <Paragraphs>82</Paragraphs>
  <Company>CFAI Mécavenir</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2022-03-30T06:50:00Z</dcterms:created>
  <dc:creator>Tahar AZOUANI</dc:creator>
  <dc:description/>
  <dc:language>fr-FR</dc:language>
  <cp:lastModifiedBy/>
  <cp:lastPrinted>2012-07-12T15:46:00Z</cp:lastPrinted>
  <dcterms:modified xsi:type="dcterms:W3CDTF">2022-06-15T07:58:54Z</dcterms:modified>
  <cp:revision>5</cp:revision>
  <dc:subject/>
  <dc:title>Annexe 4 : Fiches descriptives des UE (total : 53 fiches)</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CFAI Mécavenir</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